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EWTTitle"/>
      </w:pPr>
      <w:r>
        <w:t>CEWT - ONE-PAGE VALUE PROPOSITION</w:t>
      </w:r>
    </w:p>
    <w:p>
      <w:pPr>
        <w:pStyle w:val="CEWTTag"/>
      </w:pPr>
      <w:r>
        <w:t>Converting Variable Renewable Energy into Continuous Firm Power and Useful Thermal Energy</w:t>
      </w:r>
    </w:p>
    <w:p>
      <w:pPr>
        <w:jc w:val="center"/>
      </w:pPr>
      <w:r>
        <w:rPr>
          <w:b/>
          <w:sz w:val="17"/>
        </w:rPr>
        <w:t>Clean Energy and Water Technologies Pty Ltd (CEWT)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515"/>
        <w:gridCol w:w="5515"/>
      </w:tblGrid>
      <w:tr>
        <w:tc>
          <w:tcPr>
            <w:tcW w:type="dxa" w:w="5400"/>
            <w:tcMar>
              <w:top w:w="60" w:type="dxa"/>
              <w:start w:w="75" w:type="dxa"/>
              <w:bottom w:w="60" w:type="dxa"/>
              <w:end w:w="75" w:type="dxa"/>
            </w:tcMar>
            <w:vAlign w:val="top"/>
            <w:shd w:fill="F2F2F2"/>
          </w:tcPr>
          <w:p>
            <w:r>
              <w:rPr>
                <w:b/>
                <w:color w:val="17365D"/>
              </w:rPr>
              <w:t>THE CHALLENGE</w:t>
            </w:r>
          </w:p>
          <w:p>
            <w:pPr>
              <w:spacing w:after="20"/>
            </w:pPr>
            <w:r>
              <w:t>Solar and wind are increasingly competitive but remain variable. Large continuous-load users such as data centres, mines and industrial facilities require reliable 24/7 power, often together with significant cooling or thermal-energy demand.</w:t>
            </w:r>
          </w:p>
          <w:p>
            <w:r>
              <w:t>Large-scale batteries can shift electricity through time, but long-duration firming introduces additional capital, degradation, replacement and duration considerations.</w:t>
            </w:r>
          </w:p>
        </w:tc>
        <w:tc>
          <w:tcPr>
            <w:tcW w:type="dxa" w:w="5400"/>
            <w:tcMar>
              <w:top w:w="60" w:type="dxa"/>
              <w:start w:w="75" w:type="dxa"/>
              <w:bottom w:w="60" w:type="dxa"/>
              <w:end w:w="75" w:type="dxa"/>
            </w:tcMar>
            <w:vAlign w:val="top"/>
            <w:shd w:fill="EAF0F8"/>
          </w:tcPr>
          <w:p>
            <w:r>
              <w:rPr>
                <w:b/>
                <w:color w:val="17365D"/>
              </w:rPr>
              <w:t>CEWT'S PROPOSITION</w:t>
            </w:r>
          </w:p>
          <w:p>
            <w:pPr>
              <w:spacing w:after="20"/>
            </w:pPr>
            <w:r>
              <w:t>CEWT is developing Carbon Recycling Technology (CRT) as an integrated architecture combining renewable electricity, hydrogen, carbon recycling, firm power generation and thermal-energy recovery.</w:t>
            </w:r>
          </w:p>
          <w:p>
            <w:r>
              <w:t>Rather than treating captured CO2 solely as a waste stream, CRT recovers and recirculates carbon through methane production and power generation.</w:t>
            </w:r>
          </w:p>
        </w:tc>
      </w:tr>
    </w:tbl>
    <w:p>
      <w:pPr>
        <w:jc w:val="center"/>
      </w:pPr>
      <w:r>
        <w:rPr>
          <w:b/>
          <w:color w:val="17365D"/>
          <w:sz w:val="20"/>
        </w:rPr>
        <w:t>CARBON CIRCULATES. HYDROGEN SUPPLIES THE ENERGY.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76"/>
        <w:gridCol w:w="1576"/>
        <w:gridCol w:w="1576"/>
        <w:gridCol w:w="1576"/>
        <w:gridCol w:w="1576"/>
        <w:gridCol w:w="1576"/>
        <w:gridCol w:w="1576"/>
      </w:tblGrid>
      <w:tr>
        <w:tc>
          <w:tcPr>
            <w:tcW w:type="dxa" w:w="1944"/>
            <w:tcMar>
              <w:top w:w="55" w:type="dxa"/>
              <w:start w:w="30" w:type="dxa"/>
              <w:bottom w:w="55" w:type="dxa"/>
              <w:end w:w="30" w:type="dxa"/>
            </w:tcMar>
            <w:shd w:fill="EAF0F8"/>
          </w:tcPr>
          <w:p>
            <w:pPr>
              <w:jc w:val="center"/>
            </w:pPr>
            <w:r>
              <w:rPr>
                <w:b/>
                <w:sz w:val="14"/>
              </w:rPr>
              <w:t>Variable renewable</w:t>
              <w:br/>
              <w:t>electricity</w:t>
            </w:r>
          </w:p>
        </w:tc>
        <w:tc>
          <w:tcPr>
            <w:tcW w:type="dxa" w:w="403"/>
            <w:tcMar>
              <w:top w:w="55" w:type="dxa"/>
              <w:start w:w="30" w:type="dxa"/>
              <w:bottom w:w="55" w:type="dxa"/>
              <w:end w:w="30" w:type="dxa"/>
            </w:tcMar>
            <w:shd w:fill="FFFFFF"/>
          </w:tcPr>
          <w:p>
            <w:pPr>
              <w:jc w:val="center"/>
            </w:pPr>
            <w:r>
              <w:rPr>
                <w:b/>
                <w:sz w:val="14"/>
              </w:rPr>
              <w:t>→</w:t>
            </w:r>
          </w:p>
        </w:tc>
        <w:tc>
          <w:tcPr>
            <w:tcW w:type="dxa" w:w="1757"/>
            <w:tcMar>
              <w:top w:w="55" w:type="dxa"/>
              <w:start w:w="30" w:type="dxa"/>
              <w:bottom w:w="55" w:type="dxa"/>
              <w:end w:w="30" w:type="dxa"/>
            </w:tcMar>
            <w:shd w:fill="EAF0F8"/>
          </w:tcPr>
          <w:p>
            <w:pPr>
              <w:jc w:val="center"/>
            </w:pPr>
            <w:r>
              <w:rPr>
                <w:b/>
                <w:sz w:val="14"/>
              </w:rPr>
              <w:t>Hydrogen +</w:t>
              <w:br/>
              <w:t>recycled CO2</w:t>
            </w:r>
          </w:p>
        </w:tc>
        <w:tc>
          <w:tcPr>
            <w:tcW w:type="dxa" w:w="403"/>
            <w:tcMar>
              <w:top w:w="55" w:type="dxa"/>
              <w:start w:w="30" w:type="dxa"/>
              <w:bottom w:w="55" w:type="dxa"/>
              <w:end w:w="30" w:type="dxa"/>
            </w:tcMar>
            <w:shd w:fill="FFFFFF"/>
          </w:tcPr>
          <w:p>
            <w:pPr>
              <w:jc w:val="center"/>
            </w:pPr>
            <w:r>
              <w:rPr>
                <w:b/>
                <w:sz w:val="14"/>
              </w:rPr>
              <w:t>→</w:t>
            </w:r>
          </w:p>
        </w:tc>
        <w:tc>
          <w:tcPr>
            <w:tcW w:type="dxa" w:w="1699"/>
            <w:tcMar>
              <w:top w:w="55" w:type="dxa"/>
              <w:start w:w="30" w:type="dxa"/>
              <w:bottom w:w="55" w:type="dxa"/>
              <w:end w:w="30" w:type="dxa"/>
            </w:tcMar>
            <w:shd w:fill="EAF0F8"/>
          </w:tcPr>
          <w:p>
            <w:pPr>
              <w:jc w:val="center"/>
            </w:pPr>
            <w:r>
              <w:rPr>
                <w:b/>
                <w:sz w:val="14"/>
              </w:rPr>
              <w:t>Recycled</w:t>
              <w:br/>
              <w:t>molecular fuel</w:t>
            </w:r>
          </w:p>
        </w:tc>
        <w:tc>
          <w:tcPr>
            <w:tcW w:type="dxa" w:w="403"/>
            <w:tcMar>
              <w:top w:w="55" w:type="dxa"/>
              <w:start w:w="30" w:type="dxa"/>
              <w:bottom w:w="55" w:type="dxa"/>
              <w:end w:w="30" w:type="dxa"/>
            </w:tcMar>
            <w:shd w:fill="FFFFFF"/>
          </w:tcPr>
          <w:p>
            <w:pPr>
              <w:jc w:val="center"/>
            </w:pPr>
            <w:r>
              <w:rPr>
                <w:b/>
                <w:sz w:val="14"/>
              </w:rPr>
              <w:t>→</w:t>
            </w:r>
          </w:p>
        </w:tc>
        <w:tc>
          <w:tcPr>
            <w:tcW w:type="dxa" w:w="2232"/>
            <w:tcMar>
              <w:top w:w="55" w:type="dxa"/>
              <w:start w:w="30" w:type="dxa"/>
              <w:bottom w:w="55" w:type="dxa"/>
              <w:end w:w="30" w:type="dxa"/>
            </w:tcMar>
            <w:shd w:fill="D9EAD3"/>
          </w:tcPr>
          <w:p>
            <w:pPr>
              <w:jc w:val="center"/>
            </w:pPr>
            <w:r>
              <w:rPr>
                <w:b/>
                <w:sz w:val="14"/>
              </w:rPr>
              <w:t>24/7 firm power +</w:t>
              <w:br/>
              <w:t>useful thermal energy</w:t>
            </w:r>
          </w:p>
        </w:tc>
      </w:tr>
    </w:tbl>
    <w:p>
      <w:pPr>
        <w:jc w:val="center"/>
      </w:pPr>
      <w:r>
        <w:rPr>
          <w:i/>
          <w:sz w:val="14"/>
        </w:rPr>
        <w:t>CO2 is recovered and returned to the managed carbon loop.</w:t>
      </w:r>
    </w:p>
    <w:p>
      <w:pPr>
        <w:pStyle w:val="CEWTHead"/>
      </w:pPr>
      <w:r>
        <w:t>Integrated Energy Outputs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515"/>
        <w:gridCol w:w="5515"/>
      </w:tblGrid>
      <w:tr>
        <w:tc>
          <w:tcPr>
            <w:tcW w:type="dxa" w:w="5400"/>
            <w:tcMar>
              <w:top w:w="35" w:type="dxa"/>
              <w:start w:w="60" w:type="dxa"/>
              <w:bottom w:w="35" w:type="dxa"/>
              <w:end w:w="60" w:type="dxa"/>
            </w:tcMar>
            <w:shd w:fill="F7F8FA"/>
          </w:tcPr>
          <w:p>
            <w:r>
              <w:rPr>
                <w:b/>
                <w:sz w:val="14"/>
              </w:rPr>
              <w:t xml:space="preserve">Continuous firm electricity - </w:t>
            </w:r>
            <w:r>
              <w:rPr>
                <w:sz w:val="14"/>
              </w:rPr>
              <w:t>for baseload customers requiring high availability</w:t>
            </w:r>
          </w:p>
        </w:tc>
        <w:tc>
          <w:tcPr>
            <w:tcW w:type="dxa" w:w="5400"/>
            <w:tcMar>
              <w:top w:w="35" w:type="dxa"/>
              <w:start w:w="60" w:type="dxa"/>
              <w:bottom w:w="35" w:type="dxa"/>
              <w:end w:w="60" w:type="dxa"/>
            </w:tcMar>
            <w:shd w:fill="F7F8FA"/>
          </w:tcPr>
          <w:p>
            <w:r>
              <w:rPr>
                <w:b/>
                <w:sz w:val="14"/>
              </w:rPr>
              <w:t xml:space="preserve">Useful heat / steam - </w:t>
            </w:r>
            <w:r>
              <w:rPr>
                <w:sz w:val="14"/>
              </w:rPr>
              <w:t>recovered from the integrated process</w:t>
            </w:r>
          </w:p>
        </w:tc>
      </w:tr>
      <w:tr>
        <w:tc>
          <w:tcPr>
            <w:tcW w:type="dxa" w:w="5400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  <w:sz w:val="14"/>
              </w:rPr>
              <w:t xml:space="preserve">Cooling - </w:t>
            </w:r>
            <w:r>
              <w:rPr>
                <w:sz w:val="14"/>
              </w:rPr>
              <w:t>through CHP / trigeneration integration where appropriate</w:t>
            </w:r>
          </w:p>
        </w:tc>
        <w:tc>
          <w:tcPr>
            <w:tcW w:type="dxa" w:w="5400"/>
            <w:tcMar>
              <w:top w:w="35" w:type="dxa"/>
              <w:start w:w="60" w:type="dxa"/>
              <w:bottom w:w="35" w:type="dxa"/>
              <w:end w:w="60" w:type="dxa"/>
            </w:tcMar>
          </w:tcPr>
          <w:p>
            <w:r>
              <w:rPr>
                <w:b/>
                <w:sz w:val="14"/>
              </w:rPr>
              <w:t xml:space="preserve">Recovered process water - </w:t>
            </w:r>
            <w:r>
              <w:rPr>
                <w:sz w:val="14"/>
              </w:rPr>
              <w:t>providing potential avoided-cost or offtake value</w:t>
            </w:r>
          </w:p>
        </w:tc>
      </w:tr>
      <w:tr>
        <w:tc>
          <w:tcPr>
            <w:tcW w:type="dxa" w:w="5400"/>
            <w:tcMar>
              <w:top w:w="35" w:type="dxa"/>
              <w:start w:w="60" w:type="dxa"/>
              <w:bottom w:w="35" w:type="dxa"/>
              <w:end w:w="60" w:type="dxa"/>
            </w:tcMar>
            <w:shd w:fill="F7F8FA"/>
          </w:tcPr>
          <w:p>
            <w:r>
              <w:rPr>
                <w:b/>
                <w:sz w:val="14"/>
              </w:rPr>
              <w:t xml:space="preserve">Reduced fresh fossil-fuel consumption - </w:t>
            </w:r>
            <w:r>
              <w:rPr>
                <w:sz w:val="14"/>
              </w:rPr>
              <w:t>through carbon recycling and regenerated molecular fuel</w:t>
            </w:r>
          </w:p>
        </w:tc>
        <w:tc>
          <w:tcPr>
            <w:tcW w:type="dxa" w:w="5400"/>
            <w:tcMar>
              <w:top w:w="35" w:type="dxa"/>
              <w:start w:w="60" w:type="dxa"/>
              <w:bottom w:w="35" w:type="dxa"/>
              <w:end w:w="60" w:type="dxa"/>
            </w:tcMar>
            <w:shd w:fill="F7F8FA"/>
          </w:tcPr>
          <w:p>
            <w:r>
              <w:rPr>
                <w:b/>
                <w:sz w:val="14"/>
              </w:rPr>
              <w:t xml:space="preserve">Verified CO2 avoidance - </w:t>
            </w:r>
            <w:r>
              <w:rPr>
                <w:sz w:val="14"/>
              </w:rPr>
              <w:t>measured within a defined physical carbon boundary</w:t>
            </w:r>
          </w:p>
        </w:tc>
      </w:tr>
    </w:tbl>
    <w:p>
      <w:pPr>
        <w:pStyle w:val="CEWTHead"/>
      </w:pPr>
      <w:r>
        <w:t>Illustrative Commercial Value Framework - 135 MW Reference Case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57"/>
        <w:gridCol w:w="2757"/>
        <w:gridCol w:w="2757"/>
        <w:gridCol w:w="2757"/>
      </w:tblGrid>
      <w:tr>
        <w:tc>
          <w:tcPr>
            <w:tcW w:type="dxa" w:w="2757"/>
            <w:shd w:fill="17365D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Renewable procurement</w:t>
            </w:r>
          </w:p>
        </w:tc>
        <w:tc>
          <w:tcPr>
            <w:tcW w:type="dxa" w:w="2757"/>
            <w:shd w:fill="17365D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Firm baseload offtake</w:t>
            </w:r>
          </w:p>
        </w:tc>
        <w:tc>
          <w:tcPr>
            <w:tcW w:type="dxa" w:w="2757"/>
            <w:shd w:fill="17365D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Core annual gross value*</w:t>
            </w:r>
          </w:p>
        </w:tc>
        <w:tc>
          <w:tcPr>
            <w:tcW w:type="dxa" w:w="2757"/>
            <w:shd w:fill="17365D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4"/>
              </w:rPr>
              <w:t>Additional outputs</w:t>
            </w:r>
          </w:p>
        </w:tc>
      </w:tr>
      <w:tr>
        <w:tc>
          <w:tcPr>
            <w:tcW w:type="dxa" w:w="275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Target ≤ A$60/MWh</w:t>
            </w:r>
          </w:p>
        </w:tc>
        <w:tc>
          <w:tcPr>
            <w:tcW w:type="dxa" w:w="275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Target ≈ A$150/MWh</w:t>
            </w:r>
          </w:p>
        </w:tc>
        <w:tc>
          <w:tcPr>
            <w:tcW w:type="dxa" w:w="275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≈ A$298.1m/year</w:t>
            </w:r>
          </w:p>
        </w:tc>
        <w:tc>
          <w:tcPr>
            <w:tcW w:type="dxa" w:w="2757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Heat/steam + water</w:t>
            </w:r>
          </w:p>
        </w:tc>
      </w:tr>
    </w:tbl>
    <w:p>
      <w:pPr>
        <w:jc w:val="center"/>
      </w:pPr>
      <w:r>
        <w:rPr>
          <w:b/>
          <w:color w:val="17365D"/>
          <w:sz w:val="15"/>
        </w:rPr>
        <w:t>Firm Power Revenue + Avoided Fossil-Fuel Cost + Verified CO2 Avoidance Revenue + Heat/Steam &amp; Water Value - Renewable Electricity Cost - Other OPEX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1030"/>
      </w:tblGrid>
      <w:tr>
        <w:tc>
          <w:tcPr>
            <w:tcW w:type="dxa" w:w="11030"/>
            <w:shd w:fill="FFF2CC"/>
            <w:tcMar>
              <w:top w:w="60" w:type="dxa"/>
              <w:start w:w="80" w:type="dxa"/>
              <w:bottom w:w="6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color w:val="17365D"/>
                <w:sz w:val="16"/>
              </w:rPr>
              <w:t>VALUE PROPOSITION</w:t>
            </w:r>
          </w:p>
          <w:p>
            <w:pPr>
              <w:jc w:val="center"/>
            </w:pPr>
            <w:r>
              <w:rPr>
                <w:b/>
                <w:sz w:val="16"/>
              </w:rPr>
              <w:t>CEWT's CRT architecture is designed to transform variable renewable electricity into continuous firm power while recovering useful thermal energy and maintaining carbon within a managed recycling loop - without relying on large-scale battery storage for long-duration firming.</w:t>
            </w:r>
          </w:p>
        </w:tc>
      </w:tr>
    </w:tbl>
    <w:p>
      <w:pPr>
        <w:jc w:val="center"/>
      </w:pPr>
      <w:r>
        <w:rPr>
          <w:b/>
          <w:color w:val="365F91"/>
          <w:sz w:val="14"/>
        </w:rPr>
        <w:t>Renewable deployment provides the energy input.  |  Hydrogen supplies the incremental energy.  |  Carbon provides the recyclable molecular carrier.  |  CRT converts them into a continuous energy service.</w:t>
      </w:r>
    </w:p>
    <w:p>
      <w:pPr>
        <w:pStyle w:val="CEWTSmall"/>
      </w:pPr>
      <w:r>
        <w:t>*Illustrative core annual gross value uses the preliminary 135 MW assumptions previously developed: A$177.4m firm-power revenue, A$89.8m avoided fossil-fuel value at A$12/GJ and A$30.9m verified CO2-avoidance value at A$75/tCO2. Figures are preliminary, before renewable electricity cost, other OPEX, CAPEX and financing, and should be updated against the final integrated mass and energy balance. The A$90/MWh input/output price difference is not assumed to be profit.</w:t>
      </w:r>
    </w:p>
    <w:sectPr w:rsidR="00FC693F" w:rsidRPr="0006063C" w:rsidSect="00034616">
      <w:pgSz w:w="12240" w:h="15840"/>
      <w:pgMar w:top="432" w:right="605" w:bottom="403" w:left="60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26" w:lineRule="auto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WTTitle">
    <w:name w:val="CEWTTitle"/>
    <w:pPr>
      <w:spacing w:after="40"/>
      <w:jc w:val="center"/>
    </w:pPr>
    <w:rPr>
      <w:rFonts w:ascii="Arial" w:hAnsi="Arial"/>
      <w:b/>
      <w:color w:val="17365D"/>
      <w:sz w:val="30"/>
    </w:rPr>
  </w:style>
  <w:style w:type="paragraph" w:customStyle="1" w:styleId="CEWTTag">
    <w:name w:val="CEWTTag"/>
    <w:pPr>
      <w:spacing w:after="40"/>
      <w:jc w:val="center"/>
    </w:pPr>
    <w:rPr>
      <w:rFonts w:ascii="Arial" w:hAnsi="Arial"/>
      <w:b/>
      <w:color w:val="365F91"/>
      <w:sz w:val="19"/>
    </w:rPr>
  </w:style>
  <w:style w:type="paragraph" w:customStyle="1" w:styleId="CEWTHead">
    <w:name w:val="CEWTHead"/>
    <w:pPr>
      <w:spacing w:after="40"/>
    </w:pPr>
    <w:rPr>
      <w:rFonts w:ascii="Arial" w:hAnsi="Arial"/>
      <w:b/>
      <w:color w:val="17365D"/>
      <w:sz w:val="18"/>
    </w:rPr>
  </w:style>
  <w:style w:type="paragraph" w:customStyle="1" w:styleId="CEWTSmall">
    <w:name w:val="CEWTSmall"/>
    <w:pPr>
      <w:spacing w:after="40"/>
    </w:pPr>
    <w:rPr>
      <w:rFonts w:ascii="Arial" w:hAnsi="Arial"/>
      <w:b w:val="0"/>
      <w:color w:val="555555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